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5A" w:rsidRPr="003D165A" w:rsidRDefault="003D165A" w:rsidP="003D165A">
      <w:pPr>
        <w:pStyle w:val="Default"/>
        <w:rPr>
          <w:rFonts w:asciiTheme="majorHAnsi" w:hAnsiTheme="majorHAnsi" w:cstheme="majorHAnsi"/>
          <w:b/>
          <w:bCs/>
          <w:szCs w:val="20"/>
          <w:u w:val="single"/>
        </w:rPr>
      </w:pPr>
      <w:r w:rsidRPr="003D165A">
        <w:rPr>
          <w:rFonts w:asciiTheme="majorHAnsi" w:hAnsiTheme="majorHAnsi" w:cstheme="majorHAnsi"/>
          <w:b/>
          <w:bCs/>
          <w:szCs w:val="20"/>
          <w:u w:val="single"/>
        </w:rPr>
        <w:t>Anatomical Landmarks</w:t>
      </w:r>
    </w:p>
    <w:p w:rsidR="003D165A" w:rsidRDefault="003D165A" w:rsidP="003D165A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Abdominal: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anterior body trunk region inferior to the ribs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Antecubital: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anterior surface of the elbow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Axillary: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armpit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Brachial: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arm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Buccal: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cheek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Carpal: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wrist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Cervical: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neck region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proofErr w:type="spellStart"/>
      <w:r w:rsidRPr="003D165A">
        <w:rPr>
          <w:rFonts w:asciiTheme="majorHAnsi" w:hAnsiTheme="majorHAnsi" w:cstheme="majorHAnsi"/>
          <w:b/>
          <w:bCs/>
          <w:sz w:val="20"/>
          <w:szCs w:val="20"/>
        </w:rPr>
        <w:t>Coxal</w:t>
      </w:r>
      <w:proofErr w:type="spellEnd"/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hip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Deltoid: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roundness of the shoulder caused by the underlying deltoid muscle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Digital: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fingers or toes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Femoral: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thigh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Fibular: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side of the leg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Inguinal: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groin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Mammary: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breast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Manus: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hand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Nasal: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nose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Oral: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mouth </w:t>
      </w:r>
    </w:p>
    <w:p w:rsidR="003D165A" w:rsidRPr="003D165A" w:rsidRDefault="003D165A" w:rsidP="003D165A">
      <w:pPr>
        <w:pStyle w:val="Default"/>
        <w:tabs>
          <w:tab w:val="left" w:pos="3780"/>
        </w:tabs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Orbital: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bony eye socket (orbit) </w:t>
      </w:r>
      <w:r>
        <w:rPr>
          <w:rFonts w:asciiTheme="majorHAnsi" w:hAnsiTheme="majorHAnsi" w:cstheme="majorHAnsi"/>
          <w:sz w:val="20"/>
          <w:szCs w:val="20"/>
        </w:rPr>
        <w:tab/>
      </w:r>
      <w:bookmarkStart w:id="0" w:name="_GoBack"/>
      <w:bookmarkEnd w:id="0"/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Patellar: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anterior knee (kneecap) region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Pelvic: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pelvis region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Pubic: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genital region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Sternal: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region of the breastbone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Tarsal: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ankle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Thoracic: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chest </w:t>
      </w:r>
    </w:p>
    <w:p w:rsidR="003D165A" w:rsidRDefault="003D165A" w:rsidP="003D165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>Umbilical</w:t>
      </w:r>
      <w:r w:rsidRPr="003D165A">
        <w:rPr>
          <w:rFonts w:asciiTheme="majorHAnsi" w:hAnsiTheme="majorHAnsi" w:cstheme="majorHAnsi"/>
          <w:sz w:val="20"/>
          <w:szCs w:val="20"/>
        </w:rPr>
        <w:t>: The navel</w:t>
      </w:r>
    </w:p>
    <w:p w:rsidR="003D165A" w:rsidRPr="003D165A" w:rsidRDefault="003D165A" w:rsidP="003D165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Cephalic: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head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Gluteal: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buttocks or rump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Lumbar: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area of the back between the ribs and hips; the loin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Occipital: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posterior aspect of the head or base of the skull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Popliteal: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back of the knee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Sacral: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area between the hips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Scapular: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scapula or shoulder blade area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Sural: </w:t>
      </w:r>
      <w:r w:rsidRPr="003D165A">
        <w:rPr>
          <w:rFonts w:asciiTheme="majorHAnsi" w:hAnsiTheme="majorHAnsi" w:cstheme="majorHAnsi"/>
          <w:sz w:val="20"/>
          <w:szCs w:val="20"/>
        </w:rPr>
        <w:t xml:space="preserve">The calf or posterior surface of the leg </w:t>
      </w:r>
    </w:p>
    <w:p w:rsidR="003D165A" w:rsidRDefault="003D165A" w:rsidP="003D165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3D165A">
        <w:rPr>
          <w:rFonts w:asciiTheme="majorHAnsi" w:hAnsiTheme="majorHAnsi" w:cstheme="majorHAnsi"/>
          <w:b/>
          <w:bCs/>
          <w:sz w:val="20"/>
          <w:szCs w:val="20"/>
        </w:rPr>
        <w:t xml:space="preserve">Vertebral: </w:t>
      </w:r>
      <w:r w:rsidRPr="003D165A">
        <w:rPr>
          <w:rFonts w:asciiTheme="majorHAnsi" w:hAnsiTheme="majorHAnsi" w:cstheme="majorHAnsi"/>
          <w:sz w:val="20"/>
          <w:szCs w:val="20"/>
        </w:rPr>
        <w:t>The area of the spinal column</w:t>
      </w:r>
    </w:p>
    <w:p w:rsidR="003D165A" w:rsidRDefault="003D165A" w:rsidP="003D165A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b/>
          <w:bCs/>
          <w:szCs w:val="23"/>
          <w:u w:val="single"/>
        </w:rPr>
      </w:pPr>
      <w:r w:rsidRPr="003D165A">
        <w:rPr>
          <w:rFonts w:asciiTheme="majorHAnsi" w:hAnsiTheme="majorHAnsi" w:cstheme="majorHAnsi"/>
          <w:b/>
          <w:bCs/>
          <w:szCs w:val="23"/>
          <w:u w:val="single"/>
        </w:rPr>
        <w:t>Abdominopelvic Regions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3"/>
        </w:rPr>
      </w:pPr>
      <w:r w:rsidRPr="003D165A">
        <w:rPr>
          <w:rFonts w:asciiTheme="majorHAnsi" w:hAnsiTheme="majorHAnsi" w:cstheme="majorHAnsi"/>
          <w:b/>
          <w:bCs/>
          <w:sz w:val="20"/>
          <w:szCs w:val="23"/>
        </w:rPr>
        <w:t xml:space="preserve">Umbilical region: </w:t>
      </w:r>
      <w:r w:rsidRPr="003D165A">
        <w:rPr>
          <w:rFonts w:asciiTheme="majorHAnsi" w:hAnsiTheme="majorHAnsi" w:cstheme="majorHAnsi"/>
          <w:sz w:val="20"/>
          <w:szCs w:val="23"/>
        </w:rPr>
        <w:t xml:space="preserve">The centermost region, which includes the umbilicus.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3"/>
        </w:rPr>
      </w:pPr>
      <w:r w:rsidRPr="003D165A">
        <w:rPr>
          <w:rFonts w:asciiTheme="majorHAnsi" w:hAnsiTheme="majorHAnsi" w:cstheme="majorHAnsi"/>
          <w:b/>
          <w:bCs/>
          <w:sz w:val="20"/>
          <w:szCs w:val="23"/>
        </w:rPr>
        <w:t>Epigastric region</w:t>
      </w:r>
      <w:r w:rsidRPr="003D165A">
        <w:rPr>
          <w:rFonts w:asciiTheme="majorHAnsi" w:hAnsiTheme="majorHAnsi" w:cstheme="majorHAnsi"/>
          <w:sz w:val="20"/>
          <w:szCs w:val="23"/>
        </w:rPr>
        <w:t xml:space="preserve">: Immediately superior to the umbilical region; overlies most of the stomach.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3"/>
        </w:rPr>
      </w:pPr>
      <w:r w:rsidRPr="003D165A">
        <w:rPr>
          <w:rFonts w:asciiTheme="majorHAnsi" w:hAnsiTheme="majorHAnsi" w:cstheme="majorHAnsi"/>
          <w:b/>
          <w:bCs/>
          <w:sz w:val="20"/>
          <w:szCs w:val="23"/>
        </w:rPr>
        <w:t xml:space="preserve">Hypogastric (pubic) region: </w:t>
      </w:r>
      <w:r w:rsidRPr="003D165A">
        <w:rPr>
          <w:rFonts w:asciiTheme="majorHAnsi" w:hAnsiTheme="majorHAnsi" w:cstheme="majorHAnsi"/>
          <w:sz w:val="20"/>
          <w:szCs w:val="23"/>
        </w:rPr>
        <w:t xml:space="preserve">Immediately inferior to the umbilical region; encompasses the pubic area.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3"/>
        </w:rPr>
      </w:pPr>
      <w:r w:rsidRPr="003D165A">
        <w:rPr>
          <w:rFonts w:asciiTheme="majorHAnsi" w:hAnsiTheme="majorHAnsi" w:cstheme="majorHAnsi"/>
          <w:b/>
          <w:bCs/>
          <w:sz w:val="20"/>
          <w:szCs w:val="23"/>
        </w:rPr>
        <w:t xml:space="preserve">Iliac regions: </w:t>
      </w:r>
      <w:r w:rsidRPr="003D165A">
        <w:rPr>
          <w:rFonts w:asciiTheme="majorHAnsi" w:hAnsiTheme="majorHAnsi" w:cstheme="majorHAnsi"/>
          <w:sz w:val="20"/>
          <w:szCs w:val="23"/>
        </w:rPr>
        <w:t xml:space="preserve">Lateral to the hypogastric region and overlying the superior parts of the hip bones.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3"/>
        </w:rPr>
      </w:pPr>
      <w:r w:rsidRPr="003D165A">
        <w:rPr>
          <w:rFonts w:asciiTheme="majorHAnsi" w:hAnsiTheme="majorHAnsi" w:cstheme="majorHAnsi"/>
          <w:b/>
          <w:bCs/>
          <w:sz w:val="20"/>
          <w:szCs w:val="23"/>
        </w:rPr>
        <w:t xml:space="preserve">Lumbar regions: </w:t>
      </w:r>
      <w:r w:rsidRPr="003D165A">
        <w:rPr>
          <w:rFonts w:asciiTheme="majorHAnsi" w:hAnsiTheme="majorHAnsi" w:cstheme="majorHAnsi"/>
          <w:sz w:val="20"/>
          <w:szCs w:val="23"/>
        </w:rPr>
        <w:t xml:space="preserve">Between the ribs and the flaring portions of the hip bones; lateral to the umbilical region. </w:t>
      </w:r>
    </w:p>
    <w:p w:rsidR="003D165A" w:rsidRPr="003D165A" w:rsidRDefault="003D165A" w:rsidP="003D165A">
      <w:pPr>
        <w:pStyle w:val="Default"/>
        <w:rPr>
          <w:rFonts w:asciiTheme="majorHAnsi" w:hAnsiTheme="majorHAnsi" w:cstheme="majorHAnsi"/>
          <w:sz w:val="20"/>
          <w:szCs w:val="23"/>
        </w:rPr>
      </w:pPr>
      <w:r w:rsidRPr="003D165A">
        <w:rPr>
          <w:rFonts w:asciiTheme="majorHAnsi" w:hAnsiTheme="majorHAnsi" w:cstheme="majorHAnsi"/>
          <w:b/>
          <w:bCs/>
          <w:sz w:val="20"/>
          <w:szCs w:val="23"/>
        </w:rPr>
        <w:t>Hypochondriac regions</w:t>
      </w:r>
      <w:r w:rsidRPr="003D165A">
        <w:rPr>
          <w:rFonts w:asciiTheme="majorHAnsi" w:hAnsiTheme="majorHAnsi" w:cstheme="majorHAnsi"/>
          <w:sz w:val="20"/>
          <w:szCs w:val="23"/>
        </w:rPr>
        <w:t xml:space="preserve">: Flanking the epigastric region laterally and overlying the lower ribs. </w:t>
      </w:r>
    </w:p>
    <w:sectPr w:rsidR="003D165A" w:rsidRPr="003D165A" w:rsidSect="003D165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5A" w:rsidRDefault="003D165A" w:rsidP="003D165A">
      <w:pPr>
        <w:spacing w:after="0" w:line="240" w:lineRule="auto"/>
      </w:pPr>
      <w:r>
        <w:separator/>
      </w:r>
    </w:p>
  </w:endnote>
  <w:endnote w:type="continuationSeparator" w:id="0">
    <w:p w:rsidR="003D165A" w:rsidRDefault="003D165A" w:rsidP="003D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5A" w:rsidRDefault="003D165A" w:rsidP="003D165A">
      <w:pPr>
        <w:spacing w:after="0" w:line="240" w:lineRule="auto"/>
      </w:pPr>
      <w:r>
        <w:separator/>
      </w:r>
    </w:p>
  </w:footnote>
  <w:footnote w:type="continuationSeparator" w:id="0">
    <w:p w:rsidR="003D165A" w:rsidRDefault="003D165A" w:rsidP="003D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5A" w:rsidRDefault="003D165A">
    <w:pPr>
      <w:pStyle w:val="Header"/>
    </w:pPr>
    <w:r>
      <w:t>MAP</w:t>
    </w:r>
    <w:r>
      <w:tab/>
    </w:r>
    <w:r>
      <w:tab/>
      <w:t>Moretz</w:t>
    </w:r>
  </w:p>
  <w:p w:rsidR="003D165A" w:rsidRDefault="003D165A">
    <w:pPr>
      <w:pStyle w:val="Header"/>
    </w:pPr>
    <w:r>
      <w:t>Intro to the Human Body</w:t>
    </w:r>
    <w:r>
      <w:tab/>
    </w:r>
    <w:r>
      <w:tab/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5A"/>
    <w:rsid w:val="003D165A"/>
    <w:rsid w:val="009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DD7D"/>
  <w15:chartTrackingRefBased/>
  <w15:docId w15:val="{2FC26CB4-6F81-4D3A-A856-02BA2E48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5A"/>
  </w:style>
  <w:style w:type="paragraph" w:styleId="Footer">
    <w:name w:val="footer"/>
    <w:basedOn w:val="Normal"/>
    <w:link w:val="FooterChar"/>
    <w:uiPriority w:val="99"/>
    <w:unhideWhenUsed/>
    <w:rsid w:val="003D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1477</Characters>
  <Application>Microsoft Office Word</Application>
  <DocSecurity>0</DocSecurity>
  <Lines>12</Lines>
  <Paragraphs>3</Paragraphs>
  <ScaleCrop>false</ScaleCrop>
  <Company>Salt Lake City School District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2017-08-24T16:21:00Z</dcterms:created>
  <dcterms:modified xsi:type="dcterms:W3CDTF">2017-08-24T16:28:00Z</dcterms:modified>
</cp:coreProperties>
</file>