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A6" w:rsidRPr="00840B09" w:rsidRDefault="00B114A6">
      <w:pPr>
        <w:rPr>
          <w:rFonts w:ascii="Gautami" w:hAnsi="Gautami" w:cs="Gautami"/>
          <w:b/>
          <w:sz w:val="32"/>
        </w:rPr>
      </w:pPr>
      <w:bookmarkStart w:id="0" w:name="_GoBack"/>
      <w:bookmarkEnd w:id="0"/>
      <w:r w:rsidRPr="00B114A6">
        <w:rPr>
          <w:rFonts w:ascii="Gautami" w:hAnsi="Gautami" w:cs="Gautami"/>
          <w:b/>
          <w:i/>
          <w:sz w:val="32"/>
        </w:rPr>
        <w:t xml:space="preserve">The Immortal Life of Henrietta Lacks:  </w:t>
      </w:r>
      <w:r w:rsidRPr="00B114A6">
        <w:rPr>
          <w:rFonts w:ascii="Gautami" w:hAnsi="Gautami" w:cs="Gautami"/>
          <w:b/>
          <w:sz w:val="32"/>
        </w:rPr>
        <w:t>Pacing Guide</w:t>
      </w:r>
    </w:p>
    <w:p w:rsidR="00B114A6" w:rsidRDefault="00B114A6">
      <w:r>
        <w:t xml:space="preserve">The following table outlines the dates for which specific chapters are expected to have been completed.  For each selection, complete the lit. circle paper prior to coming to class.  Be prepared to share your thoughts, comments, connections, and questions with the class on the date the assignment is due. </w:t>
      </w:r>
    </w:p>
    <w:p w:rsidR="00B114A6" w:rsidRDefault="00B114A6"/>
    <w:tbl>
      <w:tblPr>
        <w:tblStyle w:val="TableGrid"/>
        <w:tblW w:w="0" w:type="auto"/>
        <w:jc w:val="center"/>
        <w:tblLook w:val="04A0" w:firstRow="1" w:lastRow="0" w:firstColumn="1" w:lastColumn="0" w:noHBand="0" w:noVBand="1"/>
      </w:tblPr>
      <w:tblGrid>
        <w:gridCol w:w="3356"/>
        <w:gridCol w:w="5729"/>
      </w:tblGrid>
      <w:tr w:rsidR="00B114A6" w:rsidTr="00C86907">
        <w:trPr>
          <w:jc w:val="center"/>
        </w:trPr>
        <w:tc>
          <w:tcPr>
            <w:tcW w:w="3356" w:type="dxa"/>
          </w:tcPr>
          <w:p w:rsidR="00B114A6" w:rsidRPr="00840B09" w:rsidRDefault="00B114A6" w:rsidP="00B114A6">
            <w:pPr>
              <w:jc w:val="center"/>
              <w:rPr>
                <w:b/>
                <w:sz w:val="28"/>
              </w:rPr>
            </w:pPr>
            <w:r w:rsidRPr="00840B09">
              <w:rPr>
                <w:b/>
                <w:sz w:val="28"/>
              </w:rPr>
              <w:t>Due Date</w:t>
            </w:r>
          </w:p>
        </w:tc>
        <w:tc>
          <w:tcPr>
            <w:tcW w:w="5729" w:type="dxa"/>
          </w:tcPr>
          <w:p w:rsidR="00B114A6" w:rsidRPr="00840B09" w:rsidRDefault="00B114A6" w:rsidP="00B114A6">
            <w:pPr>
              <w:jc w:val="center"/>
              <w:rPr>
                <w:b/>
                <w:sz w:val="28"/>
              </w:rPr>
            </w:pPr>
            <w:r w:rsidRPr="00840B09">
              <w:rPr>
                <w:b/>
                <w:sz w:val="28"/>
              </w:rPr>
              <w:t>Chapters &amp; Page Numbers</w:t>
            </w:r>
          </w:p>
        </w:tc>
      </w:tr>
      <w:tr w:rsidR="00B114A6" w:rsidTr="00C86907">
        <w:trPr>
          <w:jc w:val="center"/>
        </w:trPr>
        <w:tc>
          <w:tcPr>
            <w:tcW w:w="3356" w:type="dxa"/>
          </w:tcPr>
          <w:p w:rsidR="00840B09" w:rsidRDefault="00840B09"/>
          <w:p w:rsidR="00840B09" w:rsidRDefault="00840B09"/>
          <w:p w:rsidR="00840B09" w:rsidRDefault="00840B09"/>
          <w:p w:rsidR="00B114A6" w:rsidRDefault="00B114A6">
            <w:r>
              <w:t>February 8</w:t>
            </w:r>
            <w:r w:rsidRPr="00B114A6">
              <w:rPr>
                <w:vertAlign w:val="superscript"/>
              </w:rPr>
              <w:t>th</w:t>
            </w:r>
            <w:r>
              <w:t xml:space="preserve"> </w:t>
            </w:r>
          </w:p>
        </w:tc>
        <w:tc>
          <w:tcPr>
            <w:tcW w:w="5729" w:type="dxa"/>
          </w:tcPr>
          <w:p w:rsidR="00B114A6" w:rsidRDefault="00C86907" w:rsidP="00840B09">
            <w:pPr>
              <w:spacing w:line="276" w:lineRule="auto"/>
            </w:pPr>
            <w:r>
              <w:t>Deborah’s Voice, pg 9</w:t>
            </w:r>
          </w:p>
          <w:p w:rsidR="00C86907" w:rsidRDefault="00C86907" w:rsidP="00840B09">
            <w:pPr>
              <w:spacing w:line="276" w:lineRule="auto"/>
            </w:pPr>
            <w:r>
              <w:t>The Exam, pg 13</w:t>
            </w:r>
          </w:p>
          <w:p w:rsidR="00C86907" w:rsidRDefault="00C86907" w:rsidP="00840B09">
            <w:pPr>
              <w:spacing w:line="276" w:lineRule="auto"/>
            </w:pPr>
            <w:r>
              <w:t>Clover, pg 18</w:t>
            </w:r>
          </w:p>
          <w:p w:rsidR="00C86907" w:rsidRDefault="00C86907" w:rsidP="00840B09">
            <w:pPr>
              <w:spacing w:line="276" w:lineRule="auto"/>
            </w:pPr>
            <w:r>
              <w:t>Diagnosis and Treatment, pg 27</w:t>
            </w:r>
          </w:p>
          <w:p w:rsidR="00C86907" w:rsidRDefault="00C86907" w:rsidP="00840B09">
            <w:pPr>
              <w:spacing w:line="276" w:lineRule="auto"/>
            </w:pPr>
            <w:r>
              <w:t>The Birth of HeLa, pg 34</w:t>
            </w:r>
          </w:p>
          <w:p w:rsidR="00C86907" w:rsidRDefault="00C86907" w:rsidP="00840B09">
            <w:pPr>
              <w:spacing w:line="276" w:lineRule="auto"/>
            </w:pPr>
            <w:r>
              <w:t>“Blackness Be Spreading All Inside”, pg 42</w:t>
            </w:r>
          </w:p>
          <w:p w:rsidR="00C86907" w:rsidRDefault="00C86907" w:rsidP="00840B09">
            <w:pPr>
              <w:spacing w:line="276" w:lineRule="auto"/>
            </w:pPr>
            <w:r>
              <w:t>“Lady’s on the Phone”, pg 49</w:t>
            </w:r>
          </w:p>
          <w:p w:rsidR="00C86907" w:rsidRDefault="00C86907" w:rsidP="00840B09">
            <w:pPr>
              <w:spacing w:line="276" w:lineRule="auto"/>
            </w:pPr>
            <w:r>
              <w:t>The Death and Life of Cell Culture, pg 56</w:t>
            </w:r>
          </w:p>
        </w:tc>
      </w:tr>
      <w:tr w:rsidR="00B114A6" w:rsidTr="00C86907">
        <w:trPr>
          <w:jc w:val="center"/>
        </w:trPr>
        <w:tc>
          <w:tcPr>
            <w:tcW w:w="3356" w:type="dxa"/>
          </w:tcPr>
          <w:p w:rsidR="00840B09" w:rsidRDefault="00840B09"/>
          <w:p w:rsidR="00840B09" w:rsidRDefault="00840B09"/>
          <w:p w:rsidR="00840B09" w:rsidRDefault="00840B09"/>
          <w:p w:rsidR="00B114A6" w:rsidRDefault="00B114A6">
            <w:r>
              <w:t>February 14</w:t>
            </w:r>
            <w:r w:rsidRPr="00B114A6">
              <w:rPr>
                <w:vertAlign w:val="superscript"/>
              </w:rPr>
              <w:t>th</w:t>
            </w:r>
            <w:r>
              <w:t xml:space="preserve"> </w:t>
            </w:r>
          </w:p>
        </w:tc>
        <w:tc>
          <w:tcPr>
            <w:tcW w:w="5729" w:type="dxa"/>
          </w:tcPr>
          <w:p w:rsidR="00B114A6" w:rsidRDefault="00C86907" w:rsidP="00840B09">
            <w:pPr>
              <w:spacing w:line="276" w:lineRule="auto"/>
            </w:pPr>
            <w:r>
              <w:t>“A Miserable Specimen”, pg 63</w:t>
            </w:r>
          </w:p>
          <w:p w:rsidR="00C86907" w:rsidRDefault="00C86907" w:rsidP="00840B09">
            <w:pPr>
              <w:spacing w:line="276" w:lineRule="auto"/>
            </w:pPr>
            <w:r>
              <w:t>Turner Station, pg. 67</w:t>
            </w:r>
          </w:p>
          <w:p w:rsidR="00C86907" w:rsidRDefault="00C86907" w:rsidP="00840B09">
            <w:pPr>
              <w:spacing w:line="276" w:lineRule="auto"/>
            </w:pPr>
            <w:r>
              <w:t>The Other Side of the Tracks, pg 77</w:t>
            </w:r>
          </w:p>
          <w:p w:rsidR="00C86907" w:rsidRDefault="00C86907" w:rsidP="00840B09">
            <w:pPr>
              <w:spacing w:line="276" w:lineRule="auto"/>
            </w:pPr>
            <w:r>
              <w:t>“the Devil of Pain Itself”, pg 83</w:t>
            </w:r>
          </w:p>
          <w:p w:rsidR="00C86907" w:rsidRDefault="00C86907" w:rsidP="00840B09">
            <w:pPr>
              <w:spacing w:line="276" w:lineRule="auto"/>
            </w:pPr>
            <w:r>
              <w:t>The Storm, pg. 89</w:t>
            </w:r>
          </w:p>
          <w:p w:rsidR="00C86907" w:rsidRDefault="00C86907" w:rsidP="00840B09">
            <w:pPr>
              <w:spacing w:line="276" w:lineRule="auto"/>
            </w:pPr>
            <w:r>
              <w:t>The HeLa Factory, pg. 93</w:t>
            </w:r>
          </w:p>
          <w:p w:rsidR="00C86907" w:rsidRDefault="00C86907" w:rsidP="00840B09">
            <w:pPr>
              <w:spacing w:line="276" w:lineRule="auto"/>
            </w:pPr>
            <w:r>
              <w:t>Helen Lane, pg. 105</w:t>
            </w:r>
          </w:p>
        </w:tc>
      </w:tr>
      <w:tr w:rsidR="00B114A6" w:rsidTr="00C86907">
        <w:trPr>
          <w:jc w:val="center"/>
        </w:trPr>
        <w:tc>
          <w:tcPr>
            <w:tcW w:w="3356" w:type="dxa"/>
          </w:tcPr>
          <w:p w:rsidR="00840B09" w:rsidRDefault="00840B09"/>
          <w:p w:rsidR="00840B09" w:rsidRDefault="00840B09"/>
          <w:p w:rsidR="00B114A6" w:rsidRDefault="00B114A6">
            <w:r>
              <w:t>February 21</w:t>
            </w:r>
            <w:r w:rsidRPr="00B114A6">
              <w:rPr>
                <w:vertAlign w:val="superscript"/>
              </w:rPr>
              <w:t>st</w:t>
            </w:r>
            <w:r>
              <w:t xml:space="preserve"> </w:t>
            </w:r>
          </w:p>
        </w:tc>
        <w:tc>
          <w:tcPr>
            <w:tcW w:w="5729" w:type="dxa"/>
          </w:tcPr>
          <w:p w:rsidR="00840B09" w:rsidRDefault="00840B09" w:rsidP="00840B09">
            <w:pPr>
              <w:spacing w:line="276" w:lineRule="auto"/>
            </w:pPr>
            <w:r>
              <w:t>“Too Young to Remember”, pg. 110</w:t>
            </w:r>
          </w:p>
          <w:p w:rsidR="00B114A6" w:rsidRDefault="00C86907" w:rsidP="00840B09">
            <w:pPr>
              <w:spacing w:line="276" w:lineRule="auto"/>
            </w:pPr>
            <w:r>
              <w:t>“Spending Eternity in the Same Place”, pg. 118</w:t>
            </w:r>
          </w:p>
          <w:p w:rsidR="00C86907" w:rsidRDefault="00C86907" w:rsidP="00840B09">
            <w:pPr>
              <w:spacing w:line="276" w:lineRule="auto"/>
            </w:pPr>
            <w:r>
              <w:t>Illegal, Immoral, and Deplorable, pg. 127</w:t>
            </w:r>
          </w:p>
          <w:p w:rsidR="00C86907" w:rsidRDefault="00C86907" w:rsidP="00840B09">
            <w:pPr>
              <w:spacing w:line="276" w:lineRule="auto"/>
            </w:pPr>
            <w:r>
              <w:t>“Strangest Hybrid”, pg. 137</w:t>
            </w:r>
          </w:p>
          <w:p w:rsidR="00C86907" w:rsidRDefault="00C86907" w:rsidP="00840B09">
            <w:pPr>
              <w:spacing w:line="276" w:lineRule="auto"/>
            </w:pPr>
            <w:r>
              <w:t>“The Most Critical Time on This Earth is Now”, pg. 144</w:t>
            </w:r>
          </w:p>
          <w:p w:rsidR="00C86907" w:rsidRDefault="00C86907" w:rsidP="00840B09">
            <w:pPr>
              <w:spacing w:line="276" w:lineRule="auto"/>
            </w:pPr>
            <w:r>
              <w:t>The HeLa Bomb, pg 152</w:t>
            </w:r>
          </w:p>
        </w:tc>
      </w:tr>
      <w:tr w:rsidR="00B114A6" w:rsidTr="00C86907">
        <w:trPr>
          <w:jc w:val="center"/>
        </w:trPr>
        <w:tc>
          <w:tcPr>
            <w:tcW w:w="3356" w:type="dxa"/>
          </w:tcPr>
          <w:p w:rsidR="00840B09" w:rsidRDefault="00840B09"/>
          <w:p w:rsidR="00840B09" w:rsidRDefault="00840B09"/>
          <w:p w:rsidR="00B114A6" w:rsidRDefault="00B114A6">
            <w:r>
              <w:t>February 28</w:t>
            </w:r>
            <w:r w:rsidRPr="00B114A6">
              <w:rPr>
                <w:vertAlign w:val="superscript"/>
              </w:rPr>
              <w:t>th</w:t>
            </w:r>
            <w:r>
              <w:t xml:space="preserve"> </w:t>
            </w:r>
          </w:p>
        </w:tc>
        <w:tc>
          <w:tcPr>
            <w:tcW w:w="5729" w:type="dxa"/>
          </w:tcPr>
          <w:p w:rsidR="00840B09" w:rsidRDefault="00840B09" w:rsidP="00840B09">
            <w:pPr>
              <w:spacing w:line="276" w:lineRule="auto"/>
            </w:pPr>
            <w:r>
              <w:t>Night Doctors, pg. 158</w:t>
            </w:r>
          </w:p>
          <w:p w:rsidR="00840B09" w:rsidRDefault="00840B09" w:rsidP="00840B09">
            <w:pPr>
              <w:spacing w:line="276" w:lineRule="auto"/>
            </w:pPr>
            <w:r>
              <w:t xml:space="preserve">“The Fame She So Richly Deserves”, pg. 170 </w:t>
            </w:r>
          </w:p>
          <w:p w:rsidR="00B114A6" w:rsidRDefault="00C86907" w:rsidP="00840B09">
            <w:pPr>
              <w:spacing w:line="276" w:lineRule="auto"/>
            </w:pPr>
            <w:r>
              <w:t>“It’s Alive”, pg. 179</w:t>
            </w:r>
          </w:p>
          <w:p w:rsidR="00C86907" w:rsidRDefault="00C86907" w:rsidP="00840B09">
            <w:pPr>
              <w:spacing w:line="276" w:lineRule="auto"/>
            </w:pPr>
            <w:r>
              <w:t>“Least They Can Do”, pg. 191</w:t>
            </w:r>
          </w:p>
          <w:p w:rsidR="00C86907" w:rsidRDefault="00C86907" w:rsidP="00840B09">
            <w:pPr>
              <w:spacing w:line="276" w:lineRule="auto"/>
            </w:pPr>
            <w:r>
              <w:t>“Who Told You You Could Sell My Spleen?”, pg. 199</w:t>
            </w:r>
          </w:p>
          <w:p w:rsidR="00FD166A" w:rsidRDefault="00FD166A" w:rsidP="00840B09">
            <w:pPr>
              <w:spacing w:line="276" w:lineRule="auto"/>
            </w:pPr>
            <w:r>
              <w:t>Breach of Privacy, pg. 207</w:t>
            </w:r>
          </w:p>
          <w:p w:rsidR="00FD166A" w:rsidRDefault="00FD166A" w:rsidP="00840B09">
            <w:pPr>
              <w:spacing w:line="276" w:lineRule="auto"/>
            </w:pPr>
            <w:r>
              <w:t>The Secret of Immortality, pg. 212</w:t>
            </w:r>
          </w:p>
        </w:tc>
      </w:tr>
    </w:tbl>
    <w:p w:rsidR="00840B09" w:rsidRDefault="00840B09">
      <w:r>
        <w:br w:type="page"/>
      </w:r>
    </w:p>
    <w:p w:rsidR="00840B09" w:rsidRDefault="00840B09"/>
    <w:tbl>
      <w:tblPr>
        <w:tblStyle w:val="TableGrid"/>
        <w:tblW w:w="0" w:type="auto"/>
        <w:jc w:val="center"/>
        <w:tblLook w:val="04A0" w:firstRow="1" w:lastRow="0" w:firstColumn="1" w:lastColumn="0" w:noHBand="0" w:noVBand="1"/>
      </w:tblPr>
      <w:tblGrid>
        <w:gridCol w:w="3356"/>
        <w:gridCol w:w="5729"/>
      </w:tblGrid>
      <w:tr w:rsidR="00840B09" w:rsidTr="00C86907">
        <w:trPr>
          <w:jc w:val="center"/>
        </w:trPr>
        <w:tc>
          <w:tcPr>
            <w:tcW w:w="3356" w:type="dxa"/>
          </w:tcPr>
          <w:p w:rsidR="00840B09" w:rsidRPr="00840B09" w:rsidRDefault="00840B09" w:rsidP="00840B09">
            <w:pPr>
              <w:jc w:val="center"/>
              <w:rPr>
                <w:b/>
                <w:sz w:val="28"/>
              </w:rPr>
            </w:pPr>
            <w:r w:rsidRPr="00840B09">
              <w:rPr>
                <w:b/>
                <w:sz w:val="28"/>
              </w:rPr>
              <w:t>Due Date</w:t>
            </w:r>
          </w:p>
        </w:tc>
        <w:tc>
          <w:tcPr>
            <w:tcW w:w="5729" w:type="dxa"/>
          </w:tcPr>
          <w:p w:rsidR="00840B09" w:rsidRPr="00840B09" w:rsidRDefault="00840B09" w:rsidP="00840B09">
            <w:pPr>
              <w:jc w:val="center"/>
              <w:rPr>
                <w:b/>
                <w:sz w:val="28"/>
              </w:rPr>
            </w:pPr>
            <w:r w:rsidRPr="00840B09">
              <w:rPr>
                <w:b/>
                <w:sz w:val="28"/>
              </w:rPr>
              <w:t>Chapters &amp; Page Numbers</w:t>
            </w:r>
          </w:p>
        </w:tc>
      </w:tr>
      <w:tr w:rsidR="00840B09" w:rsidTr="00C86907">
        <w:trPr>
          <w:jc w:val="center"/>
        </w:trPr>
        <w:tc>
          <w:tcPr>
            <w:tcW w:w="3356" w:type="dxa"/>
          </w:tcPr>
          <w:p w:rsidR="00840B09" w:rsidRDefault="00840B09" w:rsidP="00840B09"/>
          <w:p w:rsidR="00840B09" w:rsidRDefault="00840B09" w:rsidP="00840B09"/>
          <w:p w:rsidR="00840B09" w:rsidRDefault="00840B09" w:rsidP="00840B09">
            <w:r>
              <w:t>March 7</w:t>
            </w:r>
            <w:r w:rsidRPr="00FD166A">
              <w:rPr>
                <w:vertAlign w:val="superscript"/>
              </w:rPr>
              <w:t>th</w:t>
            </w:r>
            <w:r>
              <w:t xml:space="preserve"> </w:t>
            </w:r>
          </w:p>
        </w:tc>
        <w:tc>
          <w:tcPr>
            <w:tcW w:w="5729" w:type="dxa"/>
          </w:tcPr>
          <w:p w:rsidR="00840B09" w:rsidRDefault="00840B09" w:rsidP="00840B09">
            <w:pPr>
              <w:spacing w:line="276" w:lineRule="auto"/>
            </w:pPr>
            <w:r>
              <w:t>After London, pg. 218</w:t>
            </w:r>
          </w:p>
          <w:p w:rsidR="00840B09" w:rsidRDefault="00840B09" w:rsidP="00840B09">
            <w:pPr>
              <w:spacing w:line="276" w:lineRule="auto"/>
            </w:pPr>
            <w:r>
              <w:t>A Village of Henriettas, pg. 232</w:t>
            </w:r>
          </w:p>
          <w:p w:rsidR="00840B09" w:rsidRDefault="00840B09" w:rsidP="00840B09">
            <w:pPr>
              <w:spacing w:line="276" w:lineRule="auto"/>
            </w:pPr>
            <w:r>
              <w:t>Zakariyya, pg. 241</w:t>
            </w:r>
          </w:p>
          <w:p w:rsidR="00840B09" w:rsidRDefault="00840B09" w:rsidP="00840B09">
            <w:pPr>
              <w:spacing w:line="276" w:lineRule="auto"/>
            </w:pPr>
            <w:r>
              <w:t>Hela, Godde</w:t>
            </w:r>
            <w:r w:rsidR="006512AA">
              <w:t>s</w:t>
            </w:r>
            <w:r>
              <w:t>s of Death, pg. 250</w:t>
            </w:r>
          </w:p>
          <w:p w:rsidR="00840B09" w:rsidRDefault="00840B09" w:rsidP="00840B09">
            <w:pPr>
              <w:spacing w:line="276" w:lineRule="auto"/>
            </w:pPr>
            <w:r>
              <w:t>“All That’s My Mother”, pg. 259</w:t>
            </w:r>
          </w:p>
        </w:tc>
      </w:tr>
      <w:tr w:rsidR="00840B09" w:rsidTr="00C86907">
        <w:trPr>
          <w:jc w:val="center"/>
        </w:trPr>
        <w:tc>
          <w:tcPr>
            <w:tcW w:w="3356" w:type="dxa"/>
          </w:tcPr>
          <w:p w:rsidR="00840B09" w:rsidRDefault="00840B09" w:rsidP="00840B09"/>
          <w:p w:rsidR="00840B09" w:rsidRDefault="00840B09" w:rsidP="00840B09"/>
          <w:p w:rsidR="00840B09" w:rsidRDefault="00840B09" w:rsidP="00840B09">
            <w:r>
              <w:t>March 14</w:t>
            </w:r>
            <w:r w:rsidRPr="00FD166A">
              <w:rPr>
                <w:vertAlign w:val="superscript"/>
              </w:rPr>
              <w:t>th</w:t>
            </w:r>
            <w:r>
              <w:t xml:space="preserve"> </w:t>
            </w:r>
          </w:p>
        </w:tc>
        <w:tc>
          <w:tcPr>
            <w:tcW w:w="5729" w:type="dxa"/>
          </w:tcPr>
          <w:p w:rsidR="00840B09" w:rsidRDefault="00840B09" w:rsidP="00840B09">
            <w:pPr>
              <w:spacing w:line="276" w:lineRule="auto"/>
            </w:pPr>
            <w:r>
              <w:t>The Hospital for the Negro Insane, pg. 268</w:t>
            </w:r>
          </w:p>
          <w:p w:rsidR="00840B09" w:rsidRDefault="00840B09" w:rsidP="00840B09">
            <w:pPr>
              <w:spacing w:line="276" w:lineRule="auto"/>
            </w:pPr>
            <w:r>
              <w:t>The Medical Records, pg. 279</w:t>
            </w:r>
          </w:p>
          <w:p w:rsidR="00840B09" w:rsidRDefault="00840B09" w:rsidP="00840B09">
            <w:pPr>
              <w:spacing w:line="276" w:lineRule="auto"/>
            </w:pPr>
            <w:r>
              <w:t>Soul Cleansing, pg. 286</w:t>
            </w:r>
          </w:p>
          <w:p w:rsidR="00840B09" w:rsidRDefault="00840B09" w:rsidP="00840B09">
            <w:pPr>
              <w:spacing w:line="276" w:lineRule="auto"/>
            </w:pPr>
            <w:r>
              <w:t>Heavenly Bodies, pg. 294</w:t>
            </w:r>
          </w:p>
          <w:p w:rsidR="00840B09" w:rsidRDefault="00840B09" w:rsidP="00840B09">
            <w:pPr>
              <w:spacing w:line="276" w:lineRule="auto"/>
            </w:pPr>
            <w:r>
              <w:t>“Nothing to Be Scared About, pg. 297</w:t>
            </w:r>
          </w:p>
          <w:p w:rsidR="00840B09" w:rsidRDefault="00840B09" w:rsidP="00840B09">
            <w:pPr>
              <w:spacing w:line="276" w:lineRule="auto"/>
            </w:pPr>
            <w:r>
              <w:t>The Long Road to Clover, pg. 205</w:t>
            </w:r>
          </w:p>
          <w:p w:rsidR="00840B09" w:rsidRDefault="00840B09" w:rsidP="00840B09">
            <w:pPr>
              <w:spacing w:line="276" w:lineRule="auto"/>
            </w:pPr>
            <w:r>
              <w:t>Where They Are Now, pg. 311</w:t>
            </w:r>
          </w:p>
          <w:p w:rsidR="00840B09" w:rsidRDefault="00840B09" w:rsidP="00840B09">
            <w:pPr>
              <w:spacing w:line="276" w:lineRule="auto"/>
            </w:pPr>
            <w:r>
              <w:t>Prologue, pg. 1</w:t>
            </w:r>
          </w:p>
        </w:tc>
      </w:tr>
    </w:tbl>
    <w:p w:rsidR="00B114A6" w:rsidRPr="00B114A6" w:rsidRDefault="00B114A6"/>
    <w:sectPr w:rsidR="00B114A6" w:rsidRPr="00B114A6" w:rsidSect="00B114A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DC" w:rsidRDefault="009B6EDC" w:rsidP="00B114A6">
      <w:r>
        <w:separator/>
      </w:r>
    </w:p>
  </w:endnote>
  <w:endnote w:type="continuationSeparator" w:id="0">
    <w:p w:rsidR="009B6EDC" w:rsidRDefault="009B6EDC" w:rsidP="00B1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DC" w:rsidRDefault="009B6EDC" w:rsidP="00B114A6">
      <w:r>
        <w:separator/>
      </w:r>
    </w:p>
  </w:footnote>
  <w:footnote w:type="continuationSeparator" w:id="0">
    <w:p w:rsidR="009B6EDC" w:rsidRDefault="009B6EDC" w:rsidP="00B1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A6"/>
    <w:rsid w:val="000C4B26"/>
    <w:rsid w:val="00122C77"/>
    <w:rsid w:val="001D6621"/>
    <w:rsid w:val="002414A0"/>
    <w:rsid w:val="006512AA"/>
    <w:rsid w:val="006D16D3"/>
    <w:rsid w:val="0075552A"/>
    <w:rsid w:val="00840B09"/>
    <w:rsid w:val="009B5D1C"/>
    <w:rsid w:val="009B6EDC"/>
    <w:rsid w:val="009F2AFE"/>
    <w:rsid w:val="00B114A6"/>
    <w:rsid w:val="00C22CBD"/>
    <w:rsid w:val="00C86907"/>
    <w:rsid w:val="00F9421F"/>
    <w:rsid w:val="00FD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BF1C6E1-A48A-E74B-ACF5-C97A1057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4A6"/>
    <w:pPr>
      <w:tabs>
        <w:tab w:val="center" w:pos="4680"/>
        <w:tab w:val="right" w:pos="9360"/>
      </w:tabs>
    </w:pPr>
  </w:style>
  <w:style w:type="character" w:customStyle="1" w:styleId="HeaderChar">
    <w:name w:val="Header Char"/>
    <w:basedOn w:val="DefaultParagraphFont"/>
    <w:link w:val="Header"/>
    <w:uiPriority w:val="99"/>
    <w:rsid w:val="00B114A6"/>
  </w:style>
  <w:style w:type="paragraph" w:styleId="Footer">
    <w:name w:val="footer"/>
    <w:basedOn w:val="Normal"/>
    <w:link w:val="FooterChar"/>
    <w:uiPriority w:val="99"/>
    <w:unhideWhenUsed/>
    <w:rsid w:val="00B114A6"/>
    <w:pPr>
      <w:tabs>
        <w:tab w:val="center" w:pos="4680"/>
        <w:tab w:val="right" w:pos="9360"/>
      </w:tabs>
    </w:pPr>
  </w:style>
  <w:style w:type="character" w:customStyle="1" w:styleId="FooterChar">
    <w:name w:val="Footer Char"/>
    <w:basedOn w:val="DefaultParagraphFont"/>
    <w:link w:val="Footer"/>
    <w:uiPriority w:val="99"/>
    <w:rsid w:val="00B114A6"/>
  </w:style>
  <w:style w:type="table" w:styleId="TableGrid">
    <w:name w:val="Table Grid"/>
    <w:basedOn w:val="TableNormal"/>
    <w:uiPriority w:val="39"/>
    <w:rsid w:val="00B1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2</cp:revision>
  <cp:lastPrinted>2019-01-31T15:40:00Z</cp:lastPrinted>
  <dcterms:created xsi:type="dcterms:W3CDTF">2019-01-31T23:26:00Z</dcterms:created>
  <dcterms:modified xsi:type="dcterms:W3CDTF">2019-01-31T23:26:00Z</dcterms:modified>
</cp:coreProperties>
</file>