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DD" w:rsidRPr="00DF0CDD" w:rsidRDefault="00DF0CDD" w:rsidP="00DF0CDD">
      <w:pPr>
        <w:shd w:val="clear" w:color="auto" w:fill="FFFFFF"/>
        <w:textAlignment w:val="baseline"/>
        <w:outlineLvl w:val="0"/>
        <w:rPr>
          <w:rFonts w:asciiTheme="majorHAnsi" w:eastAsia="Times New Roman" w:hAnsiTheme="majorHAnsi" w:cs="Times New Roman"/>
          <w:b/>
          <w:bCs/>
          <w:color w:val="182435"/>
          <w:kern w:val="36"/>
          <w:sz w:val="32"/>
          <w:szCs w:val="72"/>
        </w:rPr>
      </w:pPr>
      <w:r w:rsidRPr="00DF0CDD">
        <w:rPr>
          <w:rFonts w:asciiTheme="majorHAnsi" w:eastAsia="Times New Roman" w:hAnsiTheme="majorHAnsi" w:cs="Times New Roman"/>
          <w:b/>
          <w:bCs/>
          <w:color w:val="182435"/>
          <w:kern w:val="36"/>
          <w:sz w:val="32"/>
          <w:szCs w:val="72"/>
        </w:rPr>
        <w:t>Radioactive Decay: A Sweet Simulation of Half-Life</w:t>
      </w:r>
    </w:p>
    <w:p w:rsidR="00DF0CDD" w:rsidRPr="00DF0CDD" w:rsidRDefault="00DF0CDD" w:rsidP="00DF0CDD">
      <w:pPr>
        <w:textAlignment w:val="baseline"/>
        <w:rPr>
          <w:rFonts w:asciiTheme="majorHAnsi" w:eastAsia="Times New Roman" w:hAnsiTheme="majorHAnsi" w:cs="Arial"/>
          <w:i/>
          <w:iCs/>
          <w:color w:val="85929B"/>
          <w:sz w:val="15"/>
          <w:szCs w:val="15"/>
        </w:rPr>
      </w:pPr>
      <w:r w:rsidRPr="00DF0CDD">
        <w:rPr>
          <w:rFonts w:asciiTheme="majorHAnsi" w:eastAsia="Times New Roman" w:hAnsiTheme="majorHAnsi" w:cs="Arial"/>
          <w:i/>
          <w:iCs/>
          <w:noProof/>
          <w:color w:val="85929B"/>
          <w:sz w:val="15"/>
          <w:szCs w:val="15"/>
        </w:rPr>
        <w:drawing>
          <wp:inline distT="0" distB="0" distL="0" distR="0" wp14:anchorId="6FA2EC21" wp14:editId="5849A460">
            <wp:extent cx="2861945" cy="2141855"/>
            <wp:effectExtent l="0" t="0" r="8255" b="0"/>
            <wp:docPr id="1" name="Picture 1" descr="adioactive Decay: A Sweet Simulation of Half-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oactive Decay: A Sweet Simulation of Half-Lif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1945" cy="2141855"/>
                    </a:xfrm>
                    <a:prstGeom prst="rect">
                      <a:avLst/>
                    </a:prstGeom>
                    <a:noFill/>
                    <a:ln>
                      <a:noFill/>
                    </a:ln>
                  </pic:spPr>
                </pic:pic>
              </a:graphicData>
            </a:graphic>
          </wp:inline>
        </w:drawing>
      </w:r>
      <w:proofErr w:type="spellStart"/>
      <w:r w:rsidRPr="00DF0CDD">
        <w:rPr>
          <w:rFonts w:asciiTheme="majorHAnsi" w:eastAsia="Times New Roman" w:hAnsiTheme="majorHAnsi" w:cs="Arial"/>
          <w:i/>
          <w:iCs/>
          <w:color w:val="85929B"/>
          <w:sz w:val="15"/>
          <w:szCs w:val="15"/>
        </w:rPr>
        <w:t>PiccoloNamek</w:t>
      </w:r>
      <w:proofErr w:type="spellEnd"/>
      <w:r w:rsidRPr="00DF0CDD">
        <w:rPr>
          <w:rFonts w:asciiTheme="majorHAnsi" w:eastAsia="Times New Roman" w:hAnsiTheme="majorHAnsi" w:cs="Arial"/>
          <w:i/>
          <w:iCs/>
          <w:color w:val="85929B"/>
          <w:sz w:val="15"/>
          <w:szCs w:val="15"/>
        </w:rPr>
        <w:t xml:space="preserve"> [GFDL or CC-BY-SA-3.0], via Wikimedia Commons</w:t>
      </w:r>
    </w:p>
    <w:p w:rsidR="00DF0CDD" w:rsidRPr="00DF0CDD" w:rsidRDefault="00DF0CDD" w:rsidP="00DF0CDD">
      <w:pPr>
        <w:textAlignment w:val="baseline"/>
        <w:outlineLvl w:val="2"/>
        <w:rPr>
          <w:rFonts w:asciiTheme="majorHAnsi" w:eastAsia="Times New Roman" w:hAnsiTheme="majorHAnsi" w:cs="Arial"/>
          <w:b/>
          <w:bCs/>
          <w:caps/>
          <w:color w:val="FC2346"/>
          <w:sz w:val="33"/>
          <w:szCs w:val="33"/>
        </w:rPr>
      </w:pPr>
    </w:p>
    <w:p w:rsidR="00DF0CDD" w:rsidRPr="00DF0CDD" w:rsidRDefault="00DF0CDD" w:rsidP="00DF0CDD">
      <w:pPr>
        <w:textAlignment w:val="baseline"/>
        <w:outlineLvl w:val="2"/>
        <w:rPr>
          <w:rFonts w:asciiTheme="majorHAnsi" w:eastAsia="Times New Roman" w:hAnsiTheme="majorHAnsi" w:cs="Arial"/>
          <w:b/>
          <w:bCs/>
          <w:caps/>
          <w:color w:val="FC2346"/>
        </w:rPr>
      </w:pPr>
      <w:r w:rsidRPr="00DF0CDD">
        <w:rPr>
          <w:rFonts w:asciiTheme="majorHAnsi" w:eastAsia="Times New Roman" w:hAnsiTheme="majorHAnsi" w:cs="Arial"/>
          <w:b/>
          <w:bCs/>
          <w:caps/>
          <w:color w:val="FC2346"/>
        </w:rPr>
        <w:t>INTRODUCTION</w:t>
      </w:r>
    </w:p>
    <w:p w:rsidR="00DF0CDD" w:rsidRPr="00DF0CDD" w:rsidRDefault="00DF0CDD" w:rsidP="00DF0CDD">
      <w:pPr>
        <w:spacing w:after="450"/>
        <w:textAlignment w:val="baseline"/>
        <w:rPr>
          <w:rFonts w:asciiTheme="majorHAnsi" w:hAnsiTheme="majorHAnsi" w:cs="Arial"/>
          <w:color w:val="182435"/>
        </w:rPr>
      </w:pPr>
      <w:r w:rsidRPr="00DF0CDD">
        <w:rPr>
          <w:rFonts w:asciiTheme="majorHAnsi" w:hAnsiTheme="majorHAnsi" w:cs="Arial"/>
          <w:color w:val="182435"/>
        </w:rPr>
        <w:t>In this simulation, you will use small pieces of candy marked on one side. They will be your “nuclei.”  You also need a paper towel on which to place your “nuclei.”</w:t>
      </w:r>
    </w:p>
    <w:p w:rsidR="00DF0CDD" w:rsidRPr="00DF0CDD" w:rsidRDefault="00DF0CDD" w:rsidP="00DF0CDD">
      <w:pPr>
        <w:textAlignment w:val="baseline"/>
        <w:outlineLvl w:val="1"/>
        <w:rPr>
          <w:rFonts w:asciiTheme="majorHAnsi" w:eastAsia="Times New Roman" w:hAnsiTheme="majorHAnsi" w:cs="Arial"/>
          <w:b/>
          <w:bCs/>
          <w:color w:val="182435"/>
        </w:rPr>
      </w:pPr>
      <w:r w:rsidRPr="00DF0CDD">
        <w:rPr>
          <w:rFonts w:asciiTheme="majorHAnsi" w:eastAsia="Times New Roman" w:hAnsiTheme="majorHAnsi" w:cs="Arial"/>
          <w:b/>
          <w:bCs/>
          <w:color w:val="182435"/>
          <w:bdr w:val="none" w:sz="0" w:space="0" w:color="auto" w:frame="1"/>
        </w:rPr>
        <w:t>Procedure:</w:t>
      </w:r>
    </w:p>
    <w:p w:rsid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1. Count your nuclei (candy). Write that number in the data table under the heading “Number of Radioactive Nuclei.” In the column marked “Prediction for Next Toss” write the number of radioactive nuclei you think you will have with your next toss. (Radioactive nuclei will be those candies with the marked side down.)</w:t>
      </w:r>
    </w:p>
    <w:p w:rsidR="00DF0CDD" w:rsidRDefault="00DF0CDD" w:rsidP="00DF0CDD">
      <w:pPr>
        <w:textAlignment w:val="baseline"/>
        <w:rPr>
          <w:rFonts w:asciiTheme="majorHAnsi" w:hAnsiTheme="majorHAnsi" w:cs="Arial"/>
          <w:color w:val="182435"/>
        </w:rPr>
      </w:pPr>
    </w:p>
    <w:p w:rsidR="00DF0CDD" w:rsidRP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2. Place your “nuclei” in a paper cup, cover and shake the cup. Pour the “nuclei” onto your paper towel. Separate the “nuclei” into two piles, one with the marked side up and the other with the marked side down. Count the number of “nuclei” in each pile. On your data table, record the number of “radioactive nuclei” candies with the marked side down. Predict how many radioactive “nuclei” you will have after the next toss.</w:t>
      </w:r>
    </w:p>
    <w:p w:rsidR="00DF0CDD" w:rsidRDefault="00DF0CDD" w:rsidP="00DF0CDD">
      <w:pPr>
        <w:textAlignment w:val="baseline"/>
        <w:rPr>
          <w:rFonts w:asciiTheme="majorHAnsi" w:hAnsiTheme="majorHAnsi" w:cs="Arial"/>
          <w:color w:val="182435"/>
        </w:rPr>
      </w:pPr>
    </w:p>
    <w:p w:rsid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3. Return only the radioactive “nuclei” to your paper cup. (You decide what to do with the “decayed nuclei,” or those with the marked side up.)</w:t>
      </w:r>
    </w:p>
    <w:p w:rsidR="00DF0CDD" w:rsidRDefault="00DF0CDD" w:rsidP="00DF0CDD">
      <w:pPr>
        <w:textAlignment w:val="baseline"/>
        <w:rPr>
          <w:rFonts w:asciiTheme="majorHAnsi" w:hAnsiTheme="majorHAnsi" w:cs="Arial"/>
          <w:color w:val="182435"/>
        </w:rPr>
      </w:pPr>
    </w:p>
    <w:p w:rsidR="00DF0CDD" w:rsidRP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4. Continue this process until there are no radioactive “nuclei” left. Add more rows to your data table, if needed.</w:t>
      </w:r>
    </w:p>
    <w:p w:rsidR="00DF0CDD" w:rsidRDefault="00DF0CDD" w:rsidP="00DF0CDD">
      <w:pPr>
        <w:spacing w:after="450"/>
        <w:textAlignment w:val="baseline"/>
        <w:rPr>
          <w:rFonts w:asciiTheme="majorHAnsi" w:hAnsiTheme="majorHAnsi" w:cs="Arial"/>
          <w:color w:val="182435"/>
        </w:rPr>
      </w:pPr>
      <w:r w:rsidRPr="00DF0CDD">
        <w:rPr>
          <w:rFonts w:asciiTheme="majorHAnsi" w:hAnsiTheme="majorHAnsi" w:cs="Arial"/>
          <w:color w:val="182435"/>
        </w:rPr>
        <w:t> </w:t>
      </w:r>
    </w:p>
    <w:p w:rsidR="00DF0CDD" w:rsidRDefault="00DF0CDD" w:rsidP="00DF0CDD">
      <w:pPr>
        <w:spacing w:after="450"/>
        <w:textAlignment w:val="baseline"/>
        <w:rPr>
          <w:rFonts w:asciiTheme="majorHAnsi" w:hAnsiTheme="majorHAnsi" w:cs="Arial"/>
          <w:color w:val="182435"/>
        </w:rPr>
      </w:pPr>
    </w:p>
    <w:p w:rsidR="00DF0CDD" w:rsidRDefault="00DF0CDD" w:rsidP="00DF0CDD">
      <w:pPr>
        <w:spacing w:after="450"/>
        <w:textAlignment w:val="baseline"/>
        <w:rPr>
          <w:rFonts w:asciiTheme="majorHAnsi" w:hAnsiTheme="majorHAnsi" w:cs="Arial"/>
          <w:color w:val="182435"/>
        </w:rPr>
      </w:pPr>
    </w:p>
    <w:p w:rsidR="00DF0CDD" w:rsidRDefault="00DF0CDD" w:rsidP="00DF0CDD">
      <w:pPr>
        <w:spacing w:after="450"/>
        <w:textAlignment w:val="baseline"/>
        <w:rPr>
          <w:rFonts w:asciiTheme="majorHAnsi" w:hAnsiTheme="majorHAnsi" w:cs="Arial"/>
          <w:color w:val="182435"/>
        </w:rPr>
      </w:pPr>
    </w:p>
    <w:p w:rsidR="00DF0CDD" w:rsidRDefault="00DF0CDD" w:rsidP="00DF0CDD">
      <w:pPr>
        <w:spacing w:after="450"/>
        <w:textAlignment w:val="baseline"/>
        <w:rPr>
          <w:rFonts w:asciiTheme="majorHAnsi" w:hAnsiTheme="majorHAnsi" w:cs="Arial"/>
          <w:color w:val="182435"/>
        </w:rPr>
      </w:pPr>
    </w:p>
    <w:p w:rsidR="00DF0CDD" w:rsidRPr="00DF0CDD" w:rsidRDefault="00DF0CDD" w:rsidP="00DF0CDD">
      <w:pPr>
        <w:spacing w:after="450"/>
        <w:textAlignment w:val="baseline"/>
        <w:rPr>
          <w:rFonts w:asciiTheme="majorHAnsi" w:hAnsiTheme="majorHAnsi" w:cs="Arial"/>
          <w:color w:val="182435"/>
        </w:rPr>
      </w:pPr>
    </w:p>
    <w:tbl>
      <w:tblPr>
        <w:tblW w:w="8272" w:type="dxa"/>
        <w:jc w:val="center"/>
        <w:tblCellMar>
          <w:left w:w="0" w:type="dxa"/>
          <w:right w:w="0" w:type="dxa"/>
        </w:tblCellMar>
        <w:tblLook w:val="04A0" w:firstRow="1" w:lastRow="0" w:firstColumn="1" w:lastColumn="0" w:noHBand="0" w:noVBand="1"/>
      </w:tblPr>
      <w:tblGrid>
        <w:gridCol w:w="1143"/>
        <w:gridCol w:w="3845"/>
        <w:gridCol w:w="3284"/>
      </w:tblGrid>
      <w:tr w:rsidR="00DF0CDD" w:rsidRPr="00DF0CDD" w:rsidTr="00DF0CDD">
        <w:trPr>
          <w:trHeight w:val="239"/>
          <w:jc w:val="center"/>
        </w:trPr>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textAlignment w:val="baseline"/>
              <w:rPr>
                <w:rFonts w:asciiTheme="majorHAnsi" w:hAnsiTheme="majorHAnsi" w:cs="Arial"/>
                <w:color w:val="182435"/>
              </w:rPr>
            </w:pPr>
            <w:r w:rsidRPr="00DF0CDD">
              <w:rPr>
                <w:rFonts w:asciiTheme="majorHAnsi" w:hAnsiTheme="majorHAnsi" w:cs="Arial"/>
                <w:b/>
                <w:bCs/>
                <w:color w:val="182435"/>
                <w:bdr w:val="none" w:sz="0" w:space="0" w:color="auto" w:frame="1"/>
              </w:rPr>
              <w:lastRenderedPageBreak/>
              <w:t>Toss</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textAlignment w:val="baseline"/>
              <w:rPr>
                <w:rFonts w:asciiTheme="majorHAnsi" w:hAnsiTheme="majorHAnsi" w:cs="Arial"/>
                <w:color w:val="182435"/>
              </w:rPr>
            </w:pPr>
            <w:r w:rsidRPr="00DF0CDD">
              <w:rPr>
                <w:rFonts w:asciiTheme="majorHAnsi" w:hAnsiTheme="majorHAnsi" w:cs="Arial"/>
                <w:b/>
                <w:bCs/>
                <w:color w:val="182435"/>
                <w:bdr w:val="none" w:sz="0" w:space="0" w:color="auto" w:frame="1"/>
              </w:rPr>
              <w:t>Number of radioactive nuclei</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textAlignment w:val="baseline"/>
              <w:rPr>
                <w:rFonts w:asciiTheme="majorHAnsi" w:hAnsiTheme="majorHAnsi" w:cs="Arial"/>
                <w:color w:val="182435"/>
              </w:rPr>
            </w:pPr>
            <w:r w:rsidRPr="00DF0CDD">
              <w:rPr>
                <w:rFonts w:asciiTheme="majorHAnsi" w:hAnsiTheme="majorHAnsi" w:cs="Arial"/>
                <w:b/>
                <w:bCs/>
                <w:color w:val="182435"/>
                <w:bdr w:val="none" w:sz="0" w:space="0" w:color="auto" w:frame="1"/>
              </w:rPr>
              <w:t>Prediction for Next Toss</w:t>
            </w:r>
          </w:p>
        </w:tc>
      </w:tr>
      <w:tr w:rsidR="00DF0CDD" w:rsidRPr="00DF0CDD" w:rsidTr="00DF0CDD">
        <w:trPr>
          <w:trHeight w:val="666"/>
          <w:jc w:val="center"/>
        </w:trPr>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1</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r>
      <w:tr w:rsidR="00DF0CDD" w:rsidRPr="00DF0CDD" w:rsidTr="00DF0CDD">
        <w:trPr>
          <w:trHeight w:val="612"/>
          <w:jc w:val="center"/>
        </w:trPr>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2</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r>
      <w:tr w:rsidR="00DF0CDD" w:rsidRPr="00DF0CDD" w:rsidTr="00DF0CDD">
        <w:trPr>
          <w:trHeight w:val="612"/>
          <w:jc w:val="center"/>
        </w:trPr>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3</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r>
      <w:tr w:rsidR="00DF0CDD" w:rsidRPr="00DF0CDD" w:rsidTr="00DF0CDD">
        <w:trPr>
          <w:trHeight w:val="598"/>
          <w:jc w:val="center"/>
        </w:trPr>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4</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r>
      <w:tr w:rsidR="00DF0CDD" w:rsidRPr="00DF0CDD" w:rsidTr="00DF0CDD">
        <w:trPr>
          <w:trHeight w:val="612"/>
          <w:jc w:val="center"/>
        </w:trPr>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5</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r>
      <w:tr w:rsidR="00DF0CDD" w:rsidRPr="00DF0CDD" w:rsidTr="00DF0CDD">
        <w:trPr>
          <w:trHeight w:val="598"/>
          <w:jc w:val="center"/>
        </w:trPr>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6</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r>
      <w:tr w:rsidR="00DF0CDD" w:rsidRPr="00DF0CDD" w:rsidTr="00DF0CDD">
        <w:trPr>
          <w:trHeight w:val="612"/>
          <w:jc w:val="center"/>
        </w:trPr>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7</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r>
      <w:tr w:rsidR="00DF0CDD" w:rsidRPr="00DF0CDD" w:rsidTr="00DF0CDD">
        <w:trPr>
          <w:trHeight w:val="598"/>
          <w:jc w:val="center"/>
        </w:trPr>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8</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r>
      <w:tr w:rsidR="00DF0CDD" w:rsidRPr="00DF0CDD" w:rsidTr="00DF0CDD">
        <w:trPr>
          <w:trHeight w:val="253"/>
          <w:jc w:val="center"/>
        </w:trPr>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9</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r>
      <w:tr w:rsidR="00DF0CDD" w:rsidRPr="00DF0CDD" w:rsidTr="00DF0CDD">
        <w:trPr>
          <w:trHeight w:val="239"/>
          <w:jc w:val="center"/>
        </w:trPr>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10</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r>
      <w:tr w:rsidR="00DF0CDD" w:rsidRPr="00DF0CDD" w:rsidTr="00DF0CDD">
        <w:trPr>
          <w:trHeight w:val="239"/>
          <w:jc w:val="center"/>
        </w:trPr>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11</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DF0CDD" w:rsidRPr="00DF0CDD" w:rsidRDefault="00DF0CDD" w:rsidP="00DF0CDD">
            <w:pPr>
              <w:rPr>
                <w:rFonts w:asciiTheme="majorHAnsi" w:eastAsia="Times New Roman" w:hAnsiTheme="majorHAnsi" w:cs="Arial"/>
                <w:color w:val="182435"/>
              </w:rPr>
            </w:pPr>
            <w:r w:rsidRPr="00DF0CDD">
              <w:rPr>
                <w:rFonts w:asciiTheme="majorHAnsi" w:eastAsia="Times New Roman" w:hAnsiTheme="majorHAnsi" w:cs="Arial"/>
                <w:color w:val="182435"/>
              </w:rPr>
              <w:t> </w:t>
            </w:r>
          </w:p>
        </w:tc>
      </w:tr>
    </w:tbl>
    <w:p w:rsid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br/>
      </w:r>
      <w:r w:rsidRPr="00DF0CDD">
        <w:rPr>
          <w:rFonts w:asciiTheme="majorHAnsi" w:hAnsiTheme="majorHAnsi" w:cs="Arial"/>
          <w:color w:val="182435"/>
        </w:rPr>
        <w:br/>
      </w:r>
      <w:r w:rsidRPr="00DF0CDD">
        <w:rPr>
          <w:rFonts w:asciiTheme="majorHAnsi" w:hAnsiTheme="majorHAnsi" w:cs="Arial"/>
          <w:color w:val="182435"/>
        </w:rPr>
        <w:br/>
      </w:r>
      <w:r w:rsidRPr="00DF0CDD">
        <w:rPr>
          <w:rFonts w:asciiTheme="majorHAnsi" w:hAnsiTheme="majorHAnsi" w:cs="Arial"/>
          <w:color w:val="182435"/>
        </w:rPr>
        <w:lastRenderedPageBreak/>
        <w:br/>
      </w:r>
      <w:r w:rsidRPr="00DF0CDD">
        <w:rPr>
          <w:rFonts w:asciiTheme="majorHAnsi" w:hAnsiTheme="majorHAnsi" w:cs="Arial"/>
          <w:b/>
          <w:color w:val="182435"/>
        </w:rPr>
        <w:t>Analysis</w:t>
      </w:r>
      <w:r w:rsidRPr="00DF0CDD">
        <w:rPr>
          <w:rFonts w:asciiTheme="majorHAnsi" w:hAnsiTheme="majorHAnsi" w:cs="Arial"/>
          <w:color w:val="182435"/>
        </w:rPr>
        <w:t>:</w:t>
      </w:r>
      <w:r>
        <w:rPr>
          <w:rFonts w:asciiTheme="majorHAnsi" w:hAnsiTheme="majorHAnsi" w:cs="Arial"/>
          <w:color w:val="182435"/>
        </w:rPr>
        <w:t xml:space="preserve"> (all calculations must include your work and units!!!)</w:t>
      </w:r>
    </w:p>
    <w:p w:rsid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br/>
        <w:t>1. </w:t>
      </w:r>
      <w:r w:rsidRPr="00DF0CDD">
        <w:rPr>
          <w:rFonts w:asciiTheme="majorHAnsi" w:hAnsiTheme="majorHAnsi" w:cs="Arial"/>
          <w:b/>
          <w:bCs/>
          <w:color w:val="182435"/>
          <w:bdr w:val="none" w:sz="0" w:space="0" w:color="auto" w:frame="1"/>
        </w:rPr>
        <w:t>Using the pooled data</w:t>
      </w:r>
      <w:r w:rsidRPr="00DF0CDD">
        <w:rPr>
          <w:rFonts w:asciiTheme="majorHAnsi" w:hAnsiTheme="majorHAnsi" w:cs="Arial"/>
          <w:color w:val="182435"/>
        </w:rPr>
        <w:t xml:space="preserve">, prepare a graph </w:t>
      </w:r>
      <w:r>
        <w:rPr>
          <w:rFonts w:asciiTheme="majorHAnsi" w:hAnsiTheme="majorHAnsi" w:cs="Arial"/>
          <w:color w:val="182435"/>
        </w:rPr>
        <w:t xml:space="preserve">that shows the relationship between the number of radioactive “nuclei” and “half-lives.” </w:t>
      </w:r>
    </w:p>
    <w:p w:rsidR="00DF0CDD" w:rsidRDefault="00DF0CDD" w:rsidP="00DF0CDD">
      <w:pPr>
        <w:textAlignment w:val="baseline"/>
        <w:rPr>
          <w:rFonts w:asciiTheme="majorHAnsi" w:hAnsiTheme="majorHAnsi" w:cs="Arial"/>
          <w:color w:val="182435"/>
        </w:rPr>
      </w:pPr>
    </w:p>
    <w:p w:rsid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2. How good is our assumption that half of our radioactive “nuclei” decay in each half-life? Explain.</w:t>
      </w:r>
      <w:r w:rsidRPr="00DF0CDD">
        <w:rPr>
          <w:rFonts w:asciiTheme="majorHAnsi" w:hAnsiTheme="majorHAnsi" w:cs="Arial"/>
          <w:color w:val="182435"/>
        </w:rPr>
        <w:br/>
      </w:r>
    </w:p>
    <w:p w:rsidR="00DF0CDD" w:rsidRDefault="00DF0CDD" w:rsidP="00DF0CDD">
      <w:pPr>
        <w:textAlignment w:val="baseline"/>
        <w:rPr>
          <w:rFonts w:asciiTheme="majorHAnsi" w:hAnsiTheme="majorHAnsi" w:cs="Arial"/>
          <w:color w:val="182435"/>
        </w:rPr>
      </w:pPr>
    </w:p>
    <w:p w:rsid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3. If you started with a sample of 600 radioactive nuclei, how man</w:t>
      </w:r>
      <w:r w:rsidR="003B4846">
        <w:rPr>
          <w:rFonts w:asciiTheme="majorHAnsi" w:hAnsiTheme="majorHAnsi" w:cs="Arial"/>
          <w:color w:val="182435"/>
        </w:rPr>
        <w:t xml:space="preserve">y would remain </w:t>
      </w:r>
      <w:proofErr w:type="spellStart"/>
      <w:r w:rsidR="003B4846">
        <w:rPr>
          <w:rFonts w:asciiTheme="majorHAnsi" w:hAnsiTheme="majorHAnsi" w:cs="Arial"/>
          <w:color w:val="182435"/>
        </w:rPr>
        <w:t>undecayed</w:t>
      </w:r>
      <w:proofErr w:type="spellEnd"/>
      <w:r w:rsidR="003B4846">
        <w:rPr>
          <w:rFonts w:asciiTheme="majorHAnsi" w:hAnsiTheme="majorHAnsi" w:cs="Arial"/>
          <w:color w:val="182435"/>
        </w:rPr>
        <w:t xml:space="preserve"> after </w:t>
      </w:r>
      <w:bookmarkStart w:id="0" w:name="_GoBack"/>
      <w:bookmarkEnd w:id="0"/>
      <w:r w:rsidRPr="00DF0CDD">
        <w:rPr>
          <w:rFonts w:asciiTheme="majorHAnsi" w:hAnsiTheme="majorHAnsi" w:cs="Arial"/>
          <w:color w:val="182435"/>
        </w:rPr>
        <w:t xml:space="preserve">three half-lives? </w:t>
      </w:r>
      <w:r>
        <w:rPr>
          <w:rFonts w:asciiTheme="majorHAnsi" w:hAnsiTheme="majorHAnsi" w:cs="Arial"/>
          <w:color w:val="182435"/>
        </w:rPr>
        <w:t xml:space="preserve"> </w:t>
      </w:r>
    </w:p>
    <w:p w:rsidR="00DF0CDD" w:rsidRDefault="00DF0CDD" w:rsidP="00DF0CDD">
      <w:pPr>
        <w:textAlignment w:val="baseline"/>
        <w:rPr>
          <w:rFonts w:asciiTheme="majorHAnsi" w:hAnsiTheme="majorHAnsi" w:cs="Arial"/>
          <w:color w:val="182435"/>
        </w:rPr>
      </w:pPr>
    </w:p>
    <w:p w:rsidR="00DF0CDD" w:rsidRDefault="00DF0CDD" w:rsidP="00DF0CDD">
      <w:pPr>
        <w:textAlignment w:val="baseline"/>
        <w:rPr>
          <w:rFonts w:asciiTheme="majorHAnsi" w:hAnsiTheme="majorHAnsi" w:cs="Arial"/>
          <w:color w:val="182435"/>
        </w:rPr>
      </w:pPr>
    </w:p>
    <w:p w:rsid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 xml:space="preserve">4. If 175 </w:t>
      </w:r>
      <w:proofErr w:type="spellStart"/>
      <w:r w:rsidRPr="00DF0CDD">
        <w:rPr>
          <w:rFonts w:asciiTheme="majorHAnsi" w:hAnsiTheme="majorHAnsi" w:cs="Arial"/>
          <w:color w:val="182435"/>
        </w:rPr>
        <w:t>undecayed</w:t>
      </w:r>
      <w:proofErr w:type="spellEnd"/>
      <w:r w:rsidRPr="00DF0CDD">
        <w:rPr>
          <w:rFonts w:asciiTheme="majorHAnsi" w:hAnsiTheme="majorHAnsi" w:cs="Arial"/>
          <w:color w:val="182435"/>
        </w:rPr>
        <w:t xml:space="preserve"> nuclei remained from a sample of 2800 nuclei, how many half-lives have passed?</w:t>
      </w:r>
      <w:r w:rsidRPr="00DF0CDD">
        <w:rPr>
          <w:rFonts w:asciiTheme="majorHAnsi" w:hAnsiTheme="majorHAnsi" w:cs="Arial"/>
          <w:color w:val="182435"/>
        </w:rPr>
        <w:br/>
      </w:r>
    </w:p>
    <w:p w:rsidR="00DF0CDD" w:rsidRDefault="00DF0CDD" w:rsidP="00DF0CDD">
      <w:pPr>
        <w:textAlignment w:val="baseline"/>
        <w:rPr>
          <w:rFonts w:asciiTheme="majorHAnsi" w:hAnsiTheme="majorHAnsi" w:cs="Arial"/>
          <w:color w:val="182435"/>
        </w:rPr>
      </w:pPr>
    </w:p>
    <w:p w:rsid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5. Why did we pool the class data? How does this relate to radioactive nuclei?</w:t>
      </w:r>
      <w:r w:rsidRPr="00DF0CDD">
        <w:rPr>
          <w:rFonts w:asciiTheme="majorHAnsi" w:hAnsiTheme="majorHAnsi" w:cs="Arial"/>
          <w:color w:val="182435"/>
        </w:rPr>
        <w:br/>
      </w:r>
    </w:p>
    <w:p w:rsidR="00DF0CDD" w:rsidRDefault="00DF0CDD" w:rsidP="00DF0CDD">
      <w:pPr>
        <w:textAlignment w:val="baseline"/>
        <w:rPr>
          <w:rFonts w:asciiTheme="majorHAnsi" w:hAnsiTheme="majorHAnsi" w:cs="Arial"/>
          <w:color w:val="182435"/>
        </w:rPr>
      </w:pPr>
    </w:p>
    <w:p w:rsid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6. How many half-lives would it take for 6.02 x 10</w:t>
      </w:r>
      <w:r w:rsidRPr="00DF0CDD">
        <w:rPr>
          <w:rFonts w:asciiTheme="majorHAnsi" w:hAnsiTheme="majorHAnsi" w:cs="Arial"/>
          <w:color w:val="182435"/>
          <w:bdr w:val="none" w:sz="0" w:space="0" w:color="auto" w:frame="1"/>
          <w:vertAlign w:val="superscript"/>
        </w:rPr>
        <w:t>23</w:t>
      </w:r>
      <w:r w:rsidRPr="00DF0CDD">
        <w:rPr>
          <w:rFonts w:asciiTheme="majorHAnsi" w:hAnsiTheme="majorHAnsi" w:cs="Arial"/>
          <w:color w:val="182435"/>
        </w:rPr>
        <w:t> nuclei to decay to 6.25% (0.376 x 10</w:t>
      </w:r>
      <w:r w:rsidRPr="00DF0CDD">
        <w:rPr>
          <w:rFonts w:asciiTheme="majorHAnsi" w:hAnsiTheme="majorHAnsi" w:cs="Arial"/>
          <w:color w:val="182435"/>
          <w:bdr w:val="none" w:sz="0" w:space="0" w:color="auto" w:frame="1"/>
          <w:vertAlign w:val="superscript"/>
        </w:rPr>
        <w:t>23</w:t>
      </w:r>
      <w:r w:rsidRPr="00DF0CDD">
        <w:rPr>
          <w:rFonts w:asciiTheme="majorHAnsi" w:hAnsiTheme="majorHAnsi" w:cs="Arial"/>
          <w:color w:val="182435"/>
        </w:rPr>
        <w:t>) of the original number of nuclei?</w:t>
      </w:r>
      <w:r w:rsidRPr="00DF0CDD">
        <w:rPr>
          <w:rFonts w:asciiTheme="majorHAnsi" w:hAnsiTheme="majorHAnsi" w:cs="Arial"/>
          <w:color w:val="182435"/>
        </w:rPr>
        <w:br/>
      </w:r>
    </w:p>
    <w:p w:rsidR="00DF0CDD" w:rsidRDefault="00DF0CDD" w:rsidP="00DF0CDD">
      <w:pPr>
        <w:textAlignment w:val="baseline"/>
        <w:rPr>
          <w:rFonts w:asciiTheme="majorHAnsi" w:hAnsiTheme="majorHAnsi" w:cs="Arial"/>
          <w:color w:val="182435"/>
        </w:rPr>
      </w:pPr>
    </w:p>
    <w:p w:rsid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7. Is there any way to predict when a specific piece of candy will land marked side up or “decayed?” If you could follow the fate of an individual atom in a sample of radioactive material, could you predict when it would decay? Explain.</w:t>
      </w:r>
      <w:r w:rsidRPr="00DF0CDD">
        <w:rPr>
          <w:rFonts w:asciiTheme="majorHAnsi" w:hAnsiTheme="majorHAnsi" w:cs="Arial"/>
          <w:color w:val="182435"/>
        </w:rPr>
        <w:br/>
      </w:r>
    </w:p>
    <w:p w:rsidR="00DF0CDD" w:rsidRDefault="00DF0CDD" w:rsidP="00DF0CDD">
      <w:pPr>
        <w:textAlignment w:val="baseline"/>
        <w:rPr>
          <w:rFonts w:asciiTheme="majorHAnsi" w:hAnsiTheme="majorHAnsi" w:cs="Arial"/>
          <w:color w:val="182435"/>
        </w:rPr>
      </w:pPr>
    </w:p>
    <w:p w:rsidR="00DF0CDD" w:rsidRDefault="00DF0CDD" w:rsidP="00DF0CDD">
      <w:pPr>
        <w:textAlignment w:val="baseline"/>
        <w:rPr>
          <w:rFonts w:asciiTheme="majorHAnsi" w:hAnsiTheme="majorHAnsi" w:cs="Arial"/>
          <w:color w:val="182435"/>
        </w:rPr>
      </w:pPr>
      <w:r w:rsidRPr="00DF0CDD">
        <w:rPr>
          <w:rFonts w:asciiTheme="majorHAnsi" w:hAnsiTheme="majorHAnsi" w:cs="Arial"/>
          <w:color w:val="182435"/>
        </w:rPr>
        <w:t>8. Strontium-90 has a half-life of 28.8 years. If you start with a 10-gram sample of strontium-90, how much will be left after 115.2 years? Justify your answer.</w:t>
      </w:r>
      <w:r w:rsidRPr="00DF0CDD">
        <w:rPr>
          <w:rFonts w:asciiTheme="majorHAnsi" w:hAnsiTheme="majorHAnsi" w:cs="Arial"/>
          <w:color w:val="182435"/>
        </w:rPr>
        <w:br/>
      </w:r>
    </w:p>
    <w:p w:rsidR="00DF0CDD" w:rsidRDefault="00DF0CDD" w:rsidP="00DF0CDD">
      <w:pPr>
        <w:textAlignment w:val="baseline"/>
        <w:rPr>
          <w:rFonts w:asciiTheme="majorHAnsi" w:hAnsiTheme="majorHAnsi" w:cs="Arial"/>
          <w:color w:val="182435"/>
        </w:rPr>
      </w:pPr>
    </w:p>
    <w:p w:rsidR="00FF5EC4" w:rsidRDefault="00DF0CDD" w:rsidP="00DF0CDD">
      <w:pPr>
        <w:textAlignment w:val="baseline"/>
        <w:rPr>
          <w:rFonts w:asciiTheme="majorHAnsi" w:hAnsiTheme="majorHAnsi" w:cs="Arial"/>
          <w:color w:val="182435"/>
        </w:rPr>
      </w:pPr>
      <w:r w:rsidRPr="00DF0CDD">
        <w:rPr>
          <w:rFonts w:asciiTheme="majorHAnsi" w:hAnsiTheme="majorHAnsi" w:cs="Arial"/>
          <w:color w:val="182435"/>
        </w:rPr>
        <w:t>9. What do we mean by half-life? With what kinds of materials do we use this term?</w:t>
      </w:r>
      <w:r w:rsidRPr="00DF0CDD">
        <w:rPr>
          <w:rFonts w:asciiTheme="majorHAnsi" w:hAnsiTheme="majorHAnsi" w:cs="Arial"/>
          <w:color w:val="182435"/>
        </w:rPr>
        <w:br/>
      </w:r>
    </w:p>
    <w:p w:rsidR="00DF0CDD" w:rsidRPr="00DF0CDD" w:rsidRDefault="00DF0CDD" w:rsidP="00DF0CDD">
      <w:pPr>
        <w:textAlignment w:val="baseline"/>
        <w:rPr>
          <w:rFonts w:asciiTheme="majorHAnsi" w:hAnsiTheme="majorHAnsi"/>
        </w:rPr>
      </w:pPr>
    </w:p>
    <w:sectPr w:rsidR="00DF0CDD" w:rsidRPr="00DF0CDD" w:rsidSect="00DF0CD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DD"/>
    <w:rsid w:val="00394BCF"/>
    <w:rsid w:val="003B4846"/>
    <w:rsid w:val="00DF0CDD"/>
    <w:rsid w:val="00FF5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199231-220A-4080-A991-ED981880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0CD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F0CD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F0CD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CDD"/>
    <w:rPr>
      <w:rFonts w:ascii="Times" w:hAnsi="Times"/>
      <w:b/>
      <w:bCs/>
      <w:kern w:val="36"/>
      <w:sz w:val="48"/>
      <w:szCs w:val="48"/>
    </w:rPr>
  </w:style>
  <w:style w:type="character" w:customStyle="1" w:styleId="Heading2Char">
    <w:name w:val="Heading 2 Char"/>
    <w:basedOn w:val="DefaultParagraphFont"/>
    <w:link w:val="Heading2"/>
    <w:uiPriority w:val="9"/>
    <w:rsid w:val="00DF0CDD"/>
    <w:rPr>
      <w:rFonts w:ascii="Times" w:hAnsi="Times"/>
      <w:b/>
      <w:bCs/>
      <w:sz w:val="36"/>
      <w:szCs w:val="36"/>
    </w:rPr>
  </w:style>
  <w:style w:type="character" w:customStyle="1" w:styleId="Heading3Char">
    <w:name w:val="Heading 3 Char"/>
    <w:basedOn w:val="DefaultParagraphFont"/>
    <w:link w:val="Heading3"/>
    <w:uiPriority w:val="9"/>
    <w:rsid w:val="00DF0CDD"/>
    <w:rPr>
      <w:rFonts w:ascii="Times" w:hAnsi="Times"/>
      <w:b/>
      <w:bCs/>
      <w:sz w:val="27"/>
      <w:szCs w:val="27"/>
    </w:rPr>
  </w:style>
  <w:style w:type="paragraph" w:styleId="NormalWeb">
    <w:name w:val="Normal (Web)"/>
    <w:basedOn w:val="Normal"/>
    <w:uiPriority w:val="99"/>
    <w:unhideWhenUsed/>
    <w:rsid w:val="00DF0CD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F0CDD"/>
    <w:rPr>
      <w:b/>
      <w:bCs/>
    </w:rPr>
  </w:style>
  <w:style w:type="character" w:customStyle="1" w:styleId="apple-converted-space">
    <w:name w:val="apple-converted-space"/>
    <w:basedOn w:val="DefaultParagraphFont"/>
    <w:rsid w:val="00DF0CDD"/>
  </w:style>
  <w:style w:type="paragraph" w:styleId="BalloonText">
    <w:name w:val="Balloon Text"/>
    <w:basedOn w:val="Normal"/>
    <w:link w:val="BalloonTextChar"/>
    <w:uiPriority w:val="99"/>
    <w:semiHidden/>
    <w:unhideWhenUsed/>
    <w:rsid w:val="00DF0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C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63264">
      <w:bodyDiv w:val="1"/>
      <w:marLeft w:val="0"/>
      <w:marRight w:val="0"/>
      <w:marTop w:val="0"/>
      <w:marBottom w:val="0"/>
      <w:divBdr>
        <w:top w:val="none" w:sz="0" w:space="0" w:color="auto"/>
        <w:left w:val="none" w:sz="0" w:space="0" w:color="auto"/>
        <w:bottom w:val="none" w:sz="0" w:space="0" w:color="auto"/>
        <w:right w:val="none" w:sz="0" w:space="0" w:color="auto"/>
      </w:divBdr>
      <w:divsChild>
        <w:div w:id="442189421">
          <w:marLeft w:val="-150"/>
          <w:marRight w:val="0"/>
          <w:marTop w:val="0"/>
          <w:marBottom w:val="0"/>
          <w:divBdr>
            <w:top w:val="none" w:sz="0" w:space="0" w:color="auto"/>
            <w:left w:val="none" w:sz="0" w:space="0" w:color="auto"/>
            <w:bottom w:val="none" w:sz="0" w:space="0" w:color="auto"/>
            <w:right w:val="none" w:sz="0" w:space="0" w:color="auto"/>
          </w:divBdr>
          <w:divsChild>
            <w:div w:id="1366522469">
              <w:marLeft w:val="0"/>
              <w:marRight w:val="0"/>
              <w:marTop w:val="0"/>
              <w:marBottom w:val="0"/>
              <w:divBdr>
                <w:top w:val="none" w:sz="0" w:space="0" w:color="auto"/>
                <w:left w:val="none" w:sz="0" w:space="0" w:color="auto"/>
                <w:bottom w:val="none" w:sz="0" w:space="0" w:color="auto"/>
                <w:right w:val="none" w:sz="0" w:space="0" w:color="auto"/>
              </w:divBdr>
              <w:divsChild>
                <w:div w:id="1733036311">
                  <w:marLeft w:val="0"/>
                  <w:marRight w:val="0"/>
                  <w:marTop w:val="0"/>
                  <w:marBottom w:val="0"/>
                  <w:divBdr>
                    <w:top w:val="none" w:sz="0" w:space="0" w:color="auto"/>
                    <w:left w:val="none" w:sz="0" w:space="0" w:color="auto"/>
                    <w:bottom w:val="none" w:sz="0" w:space="0" w:color="auto"/>
                    <w:right w:val="none" w:sz="0" w:space="0" w:color="auto"/>
                  </w:divBdr>
                  <w:divsChild>
                    <w:div w:id="69040954">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SMaRT</dc:creator>
  <cp:keywords/>
  <dc:description/>
  <cp:lastModifiedBy>Elizabeth Moretz</cp:lastModifiedBy>
  <cp:revision>2</cp:revision>
  <cp:lastPrinted>2014-02-11T17:39:00Z</cp:lastPrinted>
  <dcterms:created xsi:type="dcterms:W3CDTF">2014-02-11T18:00:00Z</dcterms:created>
  <dcterms:modified xsi:type="dcterms:W3CDTF">2014-02-11T18:00:00Z</dcterms:modified>
</cp:coreProperties>
</file>